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626F" w14:textId="15C186D9" w:rsidR="007A20F7" w:rsidRPr="007A20F7" w:rsidRDefault="007A20F7" w:rsidP="007A20F7">
      <w:pPr>
        <w:spacing w:after="0" w:line="384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fldChar w:fldCharType="begin"/>
      </w: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instrText xml:space="preserve"> HYPERLINK "</w:instrText>
      </w: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instrText>https://whatartcando.org/2020/10/a-summary-of-evidence-on-the-role-of-the-arts-in-improving-health-and-well-being/</w:instrText>
      </w: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instrText xml:space="preserve">" </w:instrText>
      </w: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fldChar w:fldCharType="separate"/>
      </w:r>
      <w:r w:rsidRPr="007A20F7">
        <w:rPr>
          <w:rStyle w:val="Hyperlink"/>
          <w:rFonts w:ascii="&amp;quot" w:eastAsia="Times New Roman" w:hAnsi="&amp;quot" w:cs="Times New Roman"/>
          <w:b/>
          <w:bCs/>
          <w:kern w:val="36"/>
          <w:sz w:val="24"/>
          <w:szCs w:val="24"/>
          <w:lang w:eastAsia="nl-NL"/>
        </w:rPr>
        <w:t>https://whatartcando.org/2020/10/a-summary-of-evidence-on-the-role-of-the-arts-in-improving-health-and-well-being/</w:t>
      </w: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fldChar w:fldCharType="end"/>
      </w: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24"/>
          <w:szCs w:val="24"/>
          <w:lang w:eastAsia="nl-NL"/>
        </w:rPr>
        <w:t xml:space="preserve"> </w:t>
      </w:r>
    </w:p>
    <w:p w14:paraId="4A66CF34" w14:textId="5CB278EF" w:rsidR="007A20F7" w:rsidRPr="007A20F7" w:rsidRDefault="007A20F7" w:rsidP="007A20F7">
      <w:pPr>
        <w:spacing w:after="0" w:line="384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</w:pPr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A summary of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evidence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on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role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of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arts in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improving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 xml:space="preserve"> health and well-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kern w:val="36"/>
          <w:sz w:val="54"/>
          <w:szCs w:val="54"/>
          <w:lang w:eastAsia="nl-NL"/>
        </w:rPr>
        <w:t>being</w:t>
      </w:r>
      <w:proofErr w:type="spellEnd"/>
    </w:p>
    <w:p w14:paraId="6527C78B" w14:textId="77777777" w:rsidR="007A20F7" w:rsidRPr="007A20F7" w:rsidRDefault="007A20F7" w:rsidP="007A20F7">
      <w:pPr>
        <w:spacing w:after="0" w:line="384" w:lineRule="atLeast"/>
        <w:textAlignment w:val="baseline"/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</w:pPr>
      <w:proofErr w:type="spellStart"/>
      <w:r w:rsidRPr="007A20F7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>by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</w:t>
      </w:r>
      <w:hyperlink r:id="rId5" w:tooltip="Posts by Jasper Visser" w:history="1">
        <w:r w:rsidRPr="007A20F7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>Jasper Visser</w:t>
        </w:r>
      </w:hyperlink>
      <w:r w:rsidRPr="007A20F7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|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18"/>
          <w:szCs w:val="18"/>
          <w:bdr w:val="none" w:sz="0" w:space="0" w:color="auto" w:frame="1"/>
          <w:lang w:eastAsia="nl-NL"/>
        </w:rPr>
        <w:t>Oct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18"/>
          <w:szCs w:val="18"/>
          <w:bdr w:val="none" w:sz="0" w:space="0" w:color="auto" w:frame="1"/>
          <w:lang w:eastAsia="nl-NL"/>
        </w:rPr>
        <w:t xml:space="preserve"> 23, 2020</w:t>
      </w:r>
      <w:r w:rsidRPr="007A20F7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| </w:t>
      </w:r>
      <w:hyperlink r:id="rId6" w:history="1">
        <w:r w:rsidRPr="007A20F7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>Research</w:t>
        </w:r>
      </w:hyperlink>
      <w:r w:rsidRPr="007A20F7">
        <w:rPr>
          <w:rFonts w:ascii="&amp;quot" w:eastAsia="Times New Roman" w:hAnsi="&amp;quot" w:cs="Times New Roman"/>
          <w:color w:val="1B1919"/>
          <w:sz w:val="18"/>
          <w:szCs w:val="18"/>
          <w:lang w:eastAsia="nl-NL"/>
        </w:rPr>
        <w:t xml:space="preserve"> | </w:t>
      </w:r>
      <w:hyperlink r:id="rId7" w:anchor="disqus_thread" w:history="1">
        <w:r w:rsidRPr="007A20F7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 xml:space="preserve">0 </w:t>
        </w:r>
        <w:proofErr w:type="spellStart"/>
        <w:r w:rsidRPr="007A20F7">
          <w:rPr>
            <w:rFonts w:ascii="&amp;quot" w:eastAsia="Times New Roman" w:hAnsi="&amp;quot" w:cs="Times New Roman"/>
            <w:color w:val="666666"/>
            <w:sz w:val="18"/>
            <w:szCs w:val="18"/>
            <w:u w:val="single"/>
            <w:bdr w:val="none" w:sz="0" w:space="0" w:color="auto" w:frame="1"/>
            <w:lang w:eastAsia="nl-NL"/>
          </w:rPr>
          <w:t>Comments</w:t>
        </w:r>
        <w:proofErr w:type="spellEnd"/>
      </w:hyperlink>
    </w:p>
    <w:p w14:paraId="421F0E8A" w14:textId="77777777" w:rsidR="007A20F7" w:rsidRPr="007A20F7" w:rsidRDefault="007A20F7" w:rsidP="007A20F7">
      <w:pPr>
        <w:spacing w:after="10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We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all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know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arts are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good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your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health and well-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being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After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all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an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artwork a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day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keeps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doctor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away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. But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how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good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are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arts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exactly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, and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what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evidence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is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there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back up </w:t>
      </w:r>
      <w:proofErr w:type="spellStart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art’s</w:t>
      </w:r>
      <w:proofErr w:type="spellEnd"/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 xml:space="preserve"> health claims? </w:t>
      </w:r>
    </w:p>
    <w:p w14:paraId="3C7DA551" w14:textId="77777777" w:rsidR="007A20F7" w:rsidRPr="007A20F7" w:rsidRDefault="007A20F7" w:rsidP="007A20F7">
      <w:pPr>
        <w:spacing w:after="100" w:line="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noProof/>
          <w:color w:val="1B1919"/>
          <w:sz w:val="24"/>
          <w:szCs w:val="24"/>
          <w:bdr w:val="none" w:sz="0" w:space="0" w:color="auto" w:frame="1"/>
          <w:lang w:eastAsia="nl-NL"/>
        </w:rPr>
        <w:drawing>
          <wp:inline distT="0" distB="0" distL="0" distR="0" wp14:anchorId="5421265E" wp14:editId="16C9CED9">
            <wp:extent cx="5760720" cy="3841115"/>
            <wp:effectExtent l="0" t="0" r="0" b="6985"/>
            <wp:docPr id="1" name="Afbeelding 1" descr="The Statue Of David in the Piazza della Signoria In Italy Wearing Blue Protective Medical Fac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atue Of David in the Piazza della Signoria In Italy Wearing Blue Protective Medical Face Ma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DE75" w14:textId="77777777" w:rsidR="007A20F7" w:rsidRPr="007A20F7" w:rsidRDefault="007A20F7" w:rsidP="007A20F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help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us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make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our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arguments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more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convincing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WHO </w:t>
      </w:r>
      <w:hyperlink r:id="rId9" w:tgtFrame="_blank" w:history="1">
        <w:r w:rsidRPr="007A20F7">
          <w:rPr>
            <w:rFonts w:ascii="&amp;quot" w:eastAsia="Times New Roman" w:hAnsi="&amp;quot" w:cs="Times New Roman"/>
            <w:color w:val="EF9E4C"/>
            <w:sz w:val="24"/>
            <w:szCs w:val="24"/>
            <w:u w:val="single"/>
            <w:bdr w:val="none" w:sz="0" w:space="0" w:color="auto" w:frame="1"/>
            <w:lang w:eastAsia="nl-NL"/>
          </w:rPr>
          <w:t xml:space="preserve">has </w:t>
        </w:r>
        <w:proofErr w:type="spellStart"/>
        <w:r w:rsidRPr="007A20F7">
          <w:rPr>
            <w:rFonts w:ascii="&amp;quot" w:eastAsia="Times New Roman" w:hAnsi="&amp;quot" w:cs="Times New Roman"/>
            <w:color w:val="EF9E4C"/>
            <w:sz w:val="24"/>
            <w:szCs w:val="24"/>
            <w:u w:val="single"/>
            <w:bdr w:val="none" w:sz="0" w:space="0" w:color="auto" w:frame="1"/>
            <w:lang w:eastAsia="nl-NL"/>
          </w:rPr>
          <w:t>studied</w:t>
        </w:r>
        <w:proofErr w:type="spellEnd"/>
      </w:hyperlink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 over 900 papers,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including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200 reviews,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covering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over 3000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further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studies.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Together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these map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global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academic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literature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role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in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improving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health and well-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claim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most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comprehensive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study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date,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we’re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not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going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argue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with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The 6-page, large-font,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quite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-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some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-images </w:t>
      </w:r>
      <w:hyperlink r:id="rId10" w:tgtFrame="_blank" w:history="1">
        <w:r w:rsidRPr="007A20F7">
          <w:rPr>
            <w:rFonts w:ascii="&amp;quot" w:eastAsia="Times New Roman" w:hAnsi="&amp;quot" w:cs="Times New Roman"/>
            <w:color w:val="EF9E4C"/>
            <w:sz w:val="24"/>
            <w:szCs w:val="24"/>
            <w:u w:val="single"/>
            <w:bdr w:val="none" w:sz="0" w:space="0" w:color="auto" w:frame="1"/>
            <w:lang w:eastAsia="nl-NL"/>
          </w:rPr>
          <w:t>summary report</w:t>
        </w:r>
      </w:hyperlink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 is a must-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read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any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cultural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professional.</w:t>
      </w:r>
    </w:p>
    <w:p w14:paraId="02D1F3AB" w14:textId="77777777" w:rsidR="007A20F7" w:rsidRPr="007A20F7" w:rsidRDefault="007A20F7" w:rsidP="007A20F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The report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finds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evidence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contribution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promotion</w:t>
      </w:r>
      <w:r w:rsidRPr="007A20F7">
        <w:rPr>
          <w:rFonts w:ascii="&amp;quot" w:eastAsia="Times New Roman" w:hAnsi="&amp;quot" w:cs="Times New Roman"/>
          <w:b/>
          <w:bCs/>
          <w:color w:val="1B1919"/>
          <w:sz w:val="24"/>
          <w:szCs w:val="24"/>
          <w:bdr w:val="none" w:sz="0" w:space="0" w:color="auto" w:frame="1"/>
          <w:lang w:eastAsia="nl-NL"/>
        </w:rPr>
        <w:t> </w:t>
      </w:r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good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health. The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can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help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prevent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 range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mental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physical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health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conditions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do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instance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developing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social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cohesion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reducing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social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inequalities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The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contribute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treatment or management of acute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chronic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conditions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This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goes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mental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illness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neurological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disorders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all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way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support of end-of-life care.</w:t>
      </w:r>
    </w:p>
    <w:p w14:paraId="4B7D8D56" w14:textId="77777777" w:rsidR="007A20F7" w:rsidRPr="007A20F7" w:rsidRDefault="007A20F7" w:rsidP="007A20F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But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go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further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The report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also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finds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may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help in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addressing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complex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challenges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which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are no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current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healthcare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solutions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2AA3E826" w14:textId="77777777" w:rsidR="007A20F7" w:rsidRPr="007A20F7" w:rsidRDefault="007A20F7" w:rsidP="007A20F7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lastRenderedPageBreak/>
        <w:t>There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work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do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before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we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can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reap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benefits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though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As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societies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we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need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:</w:t>
      </w:r>
    </w:p>
    <w:p w14:paraId="6D0DC45B" w14:textId="77777777" w:rsidR="007A20F7" w:rsidRPr="007A20F7" w:rsidRDefault="007A20F7" w:rsidP="007A20F7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Ensure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culturally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-diverse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forms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art are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available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accessible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 range of different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groups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across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life-course,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especially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those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from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disadvantaged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minorities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4432CCFF" w14:textId="77777777" w:rsidR="007A20F7" w:rsidRPr="007A20F7" w:rsidRDefault="007A20F7" w:rsidP="007A20F7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Encourage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cultural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organisations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make health and well-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integral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and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strategic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part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their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work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.</w:t>
      </w:r>
    </w:p>
    <w:p w14:paraId="6BEF28E0" w14:textId="77777777" w:rsidR="007A20F7" w:rsidRPr="007A20F7" w:rsidRDefault="007A20F7" w:rsidP="007A20F7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Actively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promote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public awareness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potential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benefits of arts engagement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health.</w:t>
      </w:r>
    </w:p>
    <w:p w14:paraId="51001C33" w14:textId="77777777" w:rsidR="007A20F7" w:rsidRPr="007A20F7" w:rsidRDefault="007A20F7" w:rsidP="007A20F7">
      <w:pPr>
        <w:numPr>
          <w:ilvl w:val="0"/>
          <w:numId w:val="1"/>
        </w:numPr>
        <w:spacing w:after="0" w:line="390" w:lineRule="atLeast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Develop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interventions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that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encourage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engagement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support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healthy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lifestyles</w:t>
      </w:r>
    </w:p>
    <w:p w14:paraId="0C46B010" w14:textId="77777777" w:rsidR="007A20F7" w:rsidRPr="007A20F7" w:rsidRDefault="007A20F7" w:rsidP="007A20F7">
      <w:pPr>
        <w:spacing w:after="100" w:line="240" w:lineRule="auto"/>
        <w:textAlignment w:val="baseline"/>
        <w:rPr>
          <w:rFonts w:ascii="&amp;quot" w:eastAsia="Times New Roman" w:hAnsi="&amp;quot" w:cs="Times New Roman"/>
          <w:color w:val="1B1919"/>
          <w:sz w:val="24"/>
          <w:szCs w:val="24"/>
          <w:lang w:eastAsia="nl-NL"/>
        </w:rPr>
      </w:pPr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The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can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cost-effective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solution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to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health and well-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as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often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draw on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existing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assets and resources—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use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of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recorded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music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patients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before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surgery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instance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The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may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be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an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overlooked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asset in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our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societies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. As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WHO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states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,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arts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could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play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considerable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role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in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helping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countries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reach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essential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objectives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such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as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the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2030 Agenda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for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</w:t>
      </w:r>
      <w:proofErr w:type="spellStart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>Sustainable</w:t>
      </w:r>
      <w:proofErr w:type="spellEnd"/>
      <w:r w:rsidRPr="007A20F7">
        <w:rPr>
          <w:rFonts w:ascii="&amp;quot" w:eastAsia="Times New Roman" w:hAnsi="&amp;quot" w:cs="Times New Roman"/>
          <w:color w:val="1B1919"/>
          <w:sz w:val="24"/>
          <w:szCs w:val="24"/>
          <w:bdr w:val="none" w:sz="0" w:space="0" w:color="auto" w:frame="1"/>
          <w:lang w:eastAsia="nl-NL"/>
        </w:rPr>
        <w:t xml:space="preserve"> Development. </w:t>
      </w:r>
    </w:p>
    <w:p w14:paraId="0EDD1FFF" w14:textId="77777777" w:rsidR="00481EC6" w:rsidRDefault="007A20F7"/>
    <w:sectPr w:rsidR="0048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74E"/>
    <w:multiLevelType w:val="multilevel"/>
    <w:tmpl w:val="7D22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7"/>
    <w:rsid w:val="005F74FE"/>
    <w:rsid w:val="006C7FBF"/>
    <w:rsid w:val="007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6E5"/>
  <w15:chartTrackingRefBased/>
  <w15:docId w15:val="{3EB48CFC-E464-4F05-94C9-484E61C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A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20F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post-meta">
    <w:name w:val="post-meta"/>
    <w:basedOn w:val="Standaard"/>
    <w:rsid w:val="007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uthor">
    <w:name w:val="author"/>
    <w:basedOn w:val="Standaardalinea-lettertype"/>
    <w:rsid w:val="007A20F7"/>
  </w:style>
  <w:style w:type="character" w:styleId="Hyperlink">
    <w:name w:val="Hyperlink"/>
    <w:basedOn w:val="Standaardalinea-lettertype"/>
    <w:uiPriority w:val="99"/>
    <w:unhideWhenUsed/>
    <w:rsid w:val="007A20F7"/>
    <w:rPr>
      <w:color w:val="0000FF"/>
      <w:u w:val="single"/>
    </w:rPr>
  </w:style>
  <w:style w:type="character" w:customStyle="1" w:styleId="published">
    <w:name w:val="published"/>
    <w:basedOn w:val="Standaardalinea-lettertype"/>
    <w:rsid w:val="007A20F7"/>
  </w:style>
  <w:style w:type="character" w:customStyle="1" w:styleId="comments-number">
    <w:name w:val="comments-number"/>
    <w:basedOn w:val="Standaardalinea-lettertype"/>
    <w:rsid w:val="007A20F7"/>
  </w:style>
  <w:style w:type="paragraph" w:styleId="Normaalweb">
    <w:name w:val="Normal (Web)"/>
    <w:basedOn w:val="Standaard"/>
    <w:uiPriority w:val="99"/>
    <w:semiHidden/>
    <w:unhideWhenUsed/>
    <w:rsid w:val="007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A20F7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84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55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008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hatartcando.org/2020/10/a-summary-of-evidence-on-the-role-of-the-arts-in-improving-health-and-well-be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atartcando.org/category/resear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hatartcando.org/author/jasper/" TargetMode="External"/><Relationship Id="rId10" Type="http://schemas.openxmlformats.org/officeDocument/2006/relationships/hyperlink" Target="https://www.euro.who.int/__data/assets/pdf_file/0005/419081/WHO_Arts_A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who.int/en/data-and-evidence/evidence-informed-policy-making/publications/2019/what-is-the-evidence-on-the-role-of-the-arts-in-improving-health-and-well-being-summary-201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2021-04-15T17:41:00Z</dcterms:created>
  <dcterms:modified xsi:type="dcterms:W3CDTF">2021-04-15T17:42:00Z</dcterms:modified>
</cp:coreProperties>
</file>