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DCC3" w14:textId="0C149D99" w:rsidR="001B3A43" w:rsidRPr="001B3A43" w:rsidRDefault="001B3A43" w:rsidP="001B3A43">
      <w:pPr>
        <w:spacing w:after="0" w:line="384" w:lineRule="atLeast"/>
        <w:textAlignment w:val="baseline"/>
        <w:outlineLvl w:val="0"/>
        <w:rPr>
          <w:rFonts w:eastAsia="Times New Roman" w:cstheme="minorHAnsi"/>
          <w:b/>
          <w:bCs/>
          <w:color w:val="1B1919"/>
          <w:kern w:val="36"/>
          <w:lang w:eastAsia="nl-NL"/>
        </w:rPr>
      </w:pPr>
      <w:r w:rsidRPr="001B3A43">
        <w:rPr>
          <w:rFonts w:eastAsia="Times New Roman" w:cstheme="minorHAnsi"/>
          <w:b/>
          <w:bCs/>
          <w:color w:val="1B1919"/>
          <w:kern w:val="36"/>
          <w:lang w:eastAsia="nl-NL"/>
        </w:rPr>
        <w:fldChar w:fldCharType="begin"/>
      </w:r>
      <w:r w:rsidRPr="001B3A43">
        <w:rPr>
          <w:rFonts w:eastAsia="Times New Roman" w:cstheme="minorHAnsi"/>
          <w:b/>
          <w:bCs/>
          <w:color w:val="1B1919"/>
          <w:kern w:val="36"/>
          <w:lang w:eastAsia="nl-NL"/>
        </w:rPr>
        <w:instrText xml:space="preserve"> HYPERLINK "</w:instrText>
      </w:r>
      <w:r w:rsidRPr="001B3A43">
        <w:rPr>
          <w:rFonts w:eastAsia="Times New Roman" w:cstheme="minorHAnsi"/>
          <w:b/>
          <w:bCs/>
          <w:color w:val="1B1919"/>
          <w:kern w:val="36"/>
          <w:lang w:eastAsia="nl-NL"/>
        </w:rPr>
        <w:instrText>https://whatartcando.org/2020/10/a-10-point-case-for-cultural-learning-for-kids-and-young-people/</w:instrText>
      </w:r>
      <w:r w:rsidRPr="001B3A43">
        <w:rPr>
          <w:rFonts w:eastAsia="Times New Roman" w:cstheme="minorHAnsi"/>
          <w:b/>
          <w:bCs/>
          <w:color w:val="1B1919"/>
          <w:kern w:val="36"/>
          <w:lang w:eastAsia="nl-NL"/>
        </w:rPr>
        <w:instrText xml:space="preserve">" </w:instrText>
      </w:r>
      <w:r w:rsidRPr="001B3A43">
        <w:rPr>
          <w:rFonts w:eastAsia="Times New Roman" w:cstheme="minorHAnsi"/>
          <w:b/>
          <w:bCs/>
          <w:color w:val="1B1919"/>
          <w:kern w:val="36"/>
          <w:lang w:eastAsia="nl-NL"/>
        </w:rPr>
        <w:fldChar w:fldCharType="separate"/>
      </w:r>
      <w:r w:rsidRPr="001B3A43">
        <w:rPr>
          <w:rStyle w:val="Hyperlink"/>
          <w:rFonts w:eastAsia="Times New Roman" w:cstheme="minorHAnsi"/>
          <w:b/>
          <w:bCs/>
          <w:kern w:val="36"/>
          <w:lang w:eastAsia="nl-NL"/>
        </w:rPr>
        <w:t>https://whatartcando.org/2020/10/a-10-point-case-for-cultural-learning-for-kids-and-young-people/</w:t>
      </w:r>
      <w:r w:rsidRPr="001B3A43">
        <w:rPr>
          <w:rFonts w:eastAsia="Times New Roman" w:cstheme="minorHAnsi"/>
          <w:b/>
          <w:bCs/>
          <w:color w:val="1B1919"/>
          <w:kern w:val="36"/>
          <w:lang w:eastAsia="nl-NL"/>
        </w:rPr>
        <w:fldChar w:fldCharType="end"/>
      </w:r>
      <w:r w:rsidRPr="001B3A43">
        <w:rPr>
          <w:rFonts w:eastAsia="Times New Roman" w:cstheme="minorHAnsi"/>
          <w:b/>
          <w:bCs/>
          <w:color w:val="1B1919"/>
          <w:kern w:val="36"/>
          <w:lang w:eastAsia="nl-NL"/>
        </w:rPr>
        <w:t xml:space="preserve"> </w:t>
      </w:r>
    </w:p>
    <w:p w14:paraId="1D4BA183" w14:textId="52EEEFE4" w:rsidR="001B3A43" w:rsidRPr="001B3A43" w:rsidRDefault="001B3A43" w:rsidP="001B3A43">
      <w:pPr>
        <w:spacing w:after="0" w:line="384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</w:pPr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A 10-point case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for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cultural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learning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for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kids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young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people</w:t>
      </w:r>
      <w:proofErr w:type="spellEnd"/>
    </w:p>
    <w:p w14:paraId="797FDE34" w14:textId="77777777" w:rsidR="001B3A43" w:rsidRPr="001B3A43" w:rsidRDefault="001B3A43" w:rsidP="001B3A43">
      <w:pPr>
        <w:spacing w:after="0" w:line="384" w:lineRule="atLeast"/>
        <w:textAlignment w:val="baseline"/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</w:pPr>
      <w:proofErr w:type="spellStart"/>
      <w:r w:rsidRPr="001B3A43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>by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 xml:space="preserve"> </w:t>
      </w:r>
      <w:hyperlink r:id="rId5" w:tooltip="Posts by Jasper Visser" w:history="1">
        <w:r w:rsidRPr="001B3A43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bdr w:val="none" w:sz="0" w:space="0" w:color="auto" w:frame="1"/>
            <w:lang w:eastAsia="nl-NL"/>
          </w:rPr>
          <w:t>Jasper Visser</w:t>
        </w:r>
      </w:hyperlink>
      <w:r w:rsidRPr="001B3A43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 xml:space="preserve"> |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18"/>
          <w:szCs w:val="18"/>
          <w:bdr w:val="none" w:sz="0" w:space="0" w:color="auto" w:frame="1"/>
          <w:lang w:eastAsia="nl-NL"/>
        </w:rPr>
        <w:t>Oct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18"/>
          <w:szCs w:val="18"/>
          <w:bdr w:val="none" w:sz="0" w:space="0" w:color="auto" w:frame="1"/>
          <w:lang w:eastAsia="nl-NL"/>
        </w:rPr>
        <w:t xml:space="preserve"> 21, 2020</w:t>
      </w:r>
      <w:r w:rsidRPr="001B3A43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 xml:space="preserve"> | </w:t>
      </w:r>
      <w:hyperlink r:id="rId6" w:history="1">
        <w:r w:rsidRPr="001B3A43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bdr w:val="none" w:sz="0" w:space="0" w:color="auto" w:frame="1"/>
            <w:lang w:eastAsia="nl-NL"/>
          </w:rPr>
          <w:t>Research</w:t>
        </w:r>
      </w:hyperlink>
      <w:r w:rsidRPr="001B3A43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 xml:space="preserve"> | </w:t>
      </w:r>
      <w:hyperlink r:id="rId7" w:anchor="disqus_thread" w:history="1">
        <w:r w:rsidRPr="001B3A43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bdr w:val="none" w:sz="0" w:space="0" w:color="auto" w:frame="1"/>
            <w:lang w:eastAsia="nl-NL"/>
          </w:rPr>
          <w:t xml:space="preserve">0 </w:t>
        </w:r>
        <w:proofErr w:type="spellStart"/>
        <w:r w:rsidRPr="001B3A43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bdr w:val="none" w:sz="0" w:space="0" w:color="auto" w:frame="1"/>
            <w:lang w:eastAsia="nl-NL"/>
          </w:rPr>
          <w:t>Comments</w:t>
        </w:r>
        <w:proofErr w:type="spellEnd"/>
      </w:hyperlink>
    </w:p>
    <w:p w14:paraId="397C6149" w14:textId="77777777" w:rsidR="001B3A43" w:rsidRPr="001B3A43" w:rsidRDefault="001B3A43" w:rsidP="001B3A43">
      <w:pPr>
        <w:spacing w:after="10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It is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often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said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best way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ensure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people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participate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in art and culture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throughout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their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life is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engage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them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when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they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are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young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. Research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seems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fldChar w:fldCharType="begin"/>
      </w:r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instrText xml:space="preserve"> HYPERLINK "https://www.researchgate.net/publication/322148239_Cultivating_interest_in_art_Causal_effects_of_arts_exposure_during_early_childhood" \t "_blank" </w:instrText>
      </w:r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fldChar w:fldCharType="separate"/>
      </w:r>
      <w:r w:rsidRPr="001B3A43">
        <w:rPr>
          <w:rFonts w:ascii="&amp;quot" w:eastAsia="Times New Roman" w:hAnsi="&amp;quot" w:cs="Times New Roman"/>
          <w:b/>
          <w:bCs/>
          <w:color w:val="EF9E4C"/>
          <w:sz w:val="24"/>
          <w:szCs w:val="24"/>
          <w:u w:val="single"/>
          <w:bdr w:val="none" w:sz="0" w:space="0" w:color="auto" w:frame="1"/>
          <w:lang w:eastAsia="nl-NL"/>
        </w:rPr>
        <w:t>confirm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EF9E4C"/>
          <w:sz w:val="24"/>
          <w:szCs w:val="24"/>
          <w:u w:val="single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EF9E4C"/>
          <w:sz w:val="24"/>
          <w:szCs w:val="24"/>
          <w:u w:val="single"/>
          <w:bdr w:val="none" w:sz="0" w:space="0" w:color="auto" w:frame="1"/>
          <w:lang w:eastAsia="nl-NL"/>
        </w:rPr>
        <w:t>this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EF9E4C"/>
          <w:sz w:val="24"/>
          <w:szCs w:val="24"/>
          <w:u w:val="single"/>
          <w:bdr w:val="none" w:sz="0" w:space="0" w:color="auto" w:frame="1"/>
          <w:lang w:eastAsia="nl-NL"/>
        </w:rPr>
        <w:t xml:space="preserve"> claim</w:t>
      </w:r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fldChar w:fldCharType="end"/>
      </w:r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.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Exposing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kids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art at a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young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age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helps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them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develop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positive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attitude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towards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arts.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That’s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wonderful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, of course, but we do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not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want art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education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only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art’s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sake. We want art </w:t>
      </w:r>
      <w:proofErr w:type="spellStart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do more.</w:t>
      </w:r>
    </w:p>
    <w:p w14:paraId="73ACF2AD" w14:textId="15C26677" w:rsidR="001B3A43" w:rsidRPr="001B3A43" w:rsidRDefault="001B3A43" w:rsidP="001B3A43">
      <w:pPr>
        <w:spacing w:after="100" w:line="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noProof/>
          <w:color w:val="1B1919"/>
          <w:sz w:val="24"/>
          <w:szCs w:val="24"/>
          <w:bdr w:val="none" w:sz="0" w:space="0" w:color="auto" w:frame="1"/>
          <w:lang w:eastAsia="nl-NL"/>
        </w:rPr>
        <w:drawing>
          <wp:inline distT="0" distB="0" distL="0" distR="0" wp14:anchorId="0024C2A3" wp14:editId="55AAD536">
            <wp:extent cx="5760720" cy="3427095"/>
            <wp:effectExtent l="0" t="0" r="0" b="1905"/>
            <wp:docPr id="1" name="Afbeelding 1" descr="Four young children are drawing and learning at an outsi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young children are drawing and learning at an outside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C9CA" w14:textId="77777777" w:rsidR="001B3A43" w:rsidRPr="001B3A43" w:rsidRDefault="001B3A43" w:rsidP="001B3A4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Fortunately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years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begin"/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instrText xml:space="preserve"> HYPERLINK "https://culturallearningalliance.org.uk/" \t "_blank" </w:instrText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separate"/>
      </w:r>
      <w:r w:rsidRPr="001B3A43">
        <w:rPr>
          <w:rFonts w:ascii="&amp;quot" w:eastAsia="Times New Roman" w:hAnsi="&amp;quot" w:cs="Times New Roman"/>
          <w:color w:val="EF9E4C"/>
          <w:sz w:val="24"/>
          <w:szCs w:val="24"/>
          <w:u w:val="single"/>
          <w:bdr w:val="none" w:sz="0" w:space="0" w:color="auto" w:frame="1"/>
          <w:lang w:eastAsia="nl-NL"/>
        </w:rPr>
        <w:t>Cultural</w:t>
      </w:r>
      <w:proofErr w:type="spellEnd"/>
      <w:r w:rsidRPr="001B3A43">
        <w:rPr>
          <w:rFonts w:ascii="&amp;quot" w:eastAsia="Times New Roman" w:hAnsi="&amp;quot" w:cs="Times New Roman"/>
          <w:color w:val="EF9E4C"/>
          <w:sz w:val="24"/>
          <w:szCs w:val="24"/>
          <w:u w:val="single"/>
          <w:bdr w:val="none" w:sz="0" w:space="0" w:color="auto" w:frame="1"/>
          <w:lang w:eastAsia="nl-NL"/>
        </w:rPr>
        <w:t xml:space="preserve"> Learning Alliance</w:t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end"/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 has been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championing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role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arts, culture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heritage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development of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kids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young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people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 A 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begin"/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instrText xml:space="preserve"> HYPERLINK "https://culturallearningalliance.org.uk/wp-content/uploads/2017/08/CLA-key-findings-2017.pdf" \t "_blank" </w:instrText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separate"/>
      </w:r>
      <w:r w:rsidRPr="001B3A43">
        <w:rPr>
          <w:rFonts w:ascii="&amp;quot" w:eastAsia="Times New Roman" w:hAnsi="&amp;quot" w:cs="Times New Roman"/>
          <w:color w:val="EF9E4C"/>
          <w:sz w:val="24"/>
          <w:szCs w:val="24"/>
          <w:u w:val="single"/>
          <w:bdr w:val="none" w:sz="0" w:space="0" w:color="auto" w:frame="1"/>
          <w:lang w:eastAsia="nl-NL"/>
        </w:rPr>
        <w:t>handy</w:t>
      </w:r>
      <w:proofErr w:type="spellEnd"/>
      <w:r w:rsidRPr="001B3A43">
        <w:rPr>
          <w:rFonts w:ascii="&amp;quot" w:eastAsia="Times New Roman" w:hAnsi="&amp;quot" w:cs="Times New Roman"/>
          <w:color w:val="EF9E4C"/>
          <w:sz w:val="24"/>
          <w:szCs w:val="24"/>
          <w:u w:val="single"/>
          <w:bdr w:val="none" w:sz="0" w:space="0" w:color="auto" w:frame="1"/>
          <w:lang w:eastAsia="nl-NL"/>
        </w:rPr>
        <w:t xml:space="preserve"> PDF</w:t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end"/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 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with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their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key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findings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decades of research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makes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compelling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case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use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art and culture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learning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4CD8166F" w14:textId="77777777" w:rsidR="001B3A43" w:rsidRPr="001B3A43" w:rsidRDefault="001B3A43" w:rsidP="001B3A4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Their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research has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CLA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conclude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“The arts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heritage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intrinsic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part of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how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we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come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know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understand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world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how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we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express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ourselves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individuals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communities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a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nation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.”</w:t>
      </w:r>
    </w:p>
    <w:p w14:paraId="18E1882D" w14:textId="77777777" w:rsidR="001B3A43" w:rsidRPr="001B3A43" w:rsidRDefault="001B3A43" w:rsidP="001B3A4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Apart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enjoyment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inspiration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enable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children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develop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their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creativity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imagination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There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also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substantial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compelling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educational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employment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civic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benefits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learning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through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about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culture. The CLA shares ten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need-to-know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effects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:</w:t>
      </w:r>
    </w:p>
    <w:p w14:paraId="1F31F6BF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Participation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structured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activities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can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increase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cognitive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abilities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17%. </w:t>
      </w:r>
    </w:p>
    <w:p w14:paraId="5AD3D367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Learning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through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and culture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can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improve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attainment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Maths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English.</w:t>
      </w:r>
    </w:p>
    <w:p w14:paraId="0B620457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Learning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through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and culture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develops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skills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behaviour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lead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children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do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better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school.</w:t>
      </w:r>
    </w:p>
    <w:p w14:paraId="4A4D42FD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lastRenderedPageBreak/>
        <w:t>Students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low-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income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families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take part in arts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activities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at school are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three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times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more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likely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get a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degree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110FC565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Employability of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students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study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subjects is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higher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are more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likely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stay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employment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2514733C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Students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low-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income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families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engage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at school are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twice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likely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volunteer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1C957979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Students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low-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income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families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engage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at school are 20% more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likely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vote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young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adults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2D61E509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Young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offenders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take part in arts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activities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are 18%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less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likely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re-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offend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1F9C4816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Children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take part in arts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activities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home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during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their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early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years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ahead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reading and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Maths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at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age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nine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 </w:t>
      </w:r>
    </w:p>
    <w:p w14:paraId="49864836" w14:textId="77777777" w:rsidR="001B3A43" w:rsidRPr="001B3A43" w:rsidRDefault="001B3A43" w:rsidP="001B3A43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People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who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take part in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are 38% more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likely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report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good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health. </w:t>
      </w:r>
    </w:p>
    <w:p w14:paraId="3F8D1FC0" w14:textId="77777777" w:rsidR="001B3A43" w:rsidRPr="001B3A43" w:rsidRDefault="001B3A43" w:rsidP="001B3A43">
      <w:pPr>
        <w:spacing w:after="10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 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begin"/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instrText xml:space="preserve"> HYPERLINK "https://culturallearningalliance.org.uk/wp-content/uploads/2017/08/CLA-key-findings-2017.pdf" \t "_blank" </w:instrText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separate"/>
      </w:r>
      <w:r w:rsidRPr="001B3A43">
        <w:rPr>
          <w:rFonts w:ascii="&amp;quot" w:eastAsia="Times New Roman" w:hAnsi="&amp;quot" w:cs="Times New Roman"/>
          <w:color w:val="EF9E4C"/>
          <w:sz w:val="24"/>
          <w:szCs w:val="24"/>
          <w:u w:val="single"/>
          <w:bdr w:val="none" w:sz="0" w:space="0" w:color="auto" w:frame="1"/>
          <w:lang w:eastAsia="nl-NL"/>
        </w:rPr>
        <w:t>their</w:t>
      </w:r>
      <w:proofErr w:type="spellEnd"/>
      <w:r w:rsidRPr="001B3A43">
        <w:rPr>
          <w:rFonts w:ascii="&amp;quot" w:eastAsia="Times New Roman" w:hAnsi="&amp;quot" w:cs="Times New Roman"/>
          <w:color w:val="EF9E4C"/>
          <w:sz w:val="24"/>
          <w:szCs w:val="24"/>
          <w:u w:val="single"/>
          <w:bdr w:val="none" w:sz="0" w:space="0" w:color="auto" w:frame="1"/>
          <w:lang w:eastAsia="nl-NL"/>
        </w:rPr>
        <w:t xml:space="preserve"> PDF</w:t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  <w:fldChar w:fldCharType="end"/>
      </w:r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CLA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provides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additional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information, nuances, and sources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each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these points.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Let’s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communicate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them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widely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so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nobody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will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question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value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and culture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learning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ever </w:t>
      </w:r>
      <w:proofErr w:type="spellStart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again</w:t>
      </w:r>
      <w:proofErr w:type="spellEnd"/>
      <w:r w:rsidRPr="001B3A43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!</w:t>
      </w:r>
    </w:p>
    <w:p w14:paraId="5CF331C7" w14:textId="77777777" w:rsidR="00481EC6" w:rsidRDefault="00B323C7"/>
    <w:sectPr w:rsidR="0048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22822"/>
    <w:multiLevelType w:val="multilevel"/>
    <w:tmpl w:val="B4EA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43"/>
    <w:rsid w:val="001B3A43"/>
    <w:rsid w:val="005F74FE"/>
    <w:rsid w:val="006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0681"/>
  <w15:chartTrackingRefBased/>
  <w15:docId w15:val="{E509602B-FA70-44D3-BCD3-6F7FD3D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B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A4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post-meta">
    <w:name w:val="post-meta"/>
    <w:basedOn w:val="Standaard"/>
    <w:rsid w:val="001B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uthor">
    <w:name w:val="author"/>
    <w:basedOn w:val="Standaardalinea-lettertype"/>
    <w:rsid w:val="001B3A43"/>
  </w:style>
  <w:style w:type="character" w:styleId="Hyperlink">
    <w:name w:val="Hyperlink"/>
    <w:basedOn w:val="Standaardalinea-lettertype"/>
    <w:uiPriority w:val="99"/>
    <w:unhideWhenUsed/>
    <w:rsid w:val="001B3A43"/>
    <w:rPr>
      <w:color w:val="0000FF"/>
      <w:u w:val="single"/>
    </w:rPr>
  </w:style>
  <w:style w:type="character" w:customStyle="1" w:styleId="published">
    <w:name w:val="published"/>
    <w:basedOn w:val="Standaardalinea-lettertype"/>
    <w:rsid w:val="001B3A43"/>
  </w:style>
  <w:style w:type="character" w:customStyle="1" w:styleId="comments-number">
    <w:name w:val="comments-number"/>
    <w:basedOn w:val="Standaardalinea-lettertype"/>
    <w:rsid w:val="001B3A43"/>
  </w:style>
  <w:style w:type="paragraph" w:styleId="Normaalweb">
    <w:name w:val="Normal (Web)"/>
    <w:basedOn w:val="Standaard"/>
    <w:uiPriority w:val="99"/>
    <w:semiHidden/>
    <w:unhideWhenUsed/>
    <w:rsid w:val="001B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3A43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59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1164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46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hatartcando.org/2020/10/a-10-point-case-for-cultural-learning-for-kids-and-young-peo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artcando.org/category/research/" TargetMode="External"/><Relationship Id="rId5" Type="http://schemas.openxmlformats.org/officeDocument/2006/relationships/hyperlink" Target="https://whatartcando.org/author/jasp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2</cp:revision>
  <dcterms:created xsi:type="dcterms:W3CDTF">2021-04-15T17:38:00Z</dcterms:created>
  <dcterms:modified xsi:type="dcterms:W3CDTF">2021-04-15T17:38:00Z</dcterms:modified>
</cp:coreProperties>
</file>